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D071A6">
      <w:pPr>
        <w:keepNext w:val="0"/>
        <w:keepLines w:val="0"/>
        <w:pageBreakBefore w:val="0"/>
        <w:numPr>
          <w:ilvl w:val="0"/>
          <w:numId w:val="0"/>
        </w:numPr>
        <w:shd w:val="clear"/>
        <w:kinsoku/>
        <w:wordWrap/>
        <w:overflowPunct/>
        <w:topLinePunct w:val="0"/>
        <w:autoSpaceDE/>
        <w:autoSpaceDN/>
        <w:bidi w:val="0"/>
        <w:adjustRightInd/>
        <w:snapToGrid/>
        <w:spacing w:line="550" w:lineRule="exact"/>
        <w:jc w:val="left"/>
        <w:textAlignment w:val="auto"/>
        <w:rPr>
          <w:rFonts w:hint="eastAsia" w:ascii="黑体" w:hAnsi="黑体" w:eastAsia="黑体" w:cs="黑体"/>
          <w:sz w:val="32"/>
          <w:szCs w:val="32"/>
          <w:lang w:val="en-US" w:eastAsia="zh-CN"/>
        </w:rPr>
      </w:pPr>
    </w:p>
    <w:p w14:paraId="54A3CFF0">
      <w:pPr>
        <w:keepNext w:val="0"/>
        <w:keepLines w:val="0"/>
        <w:pageBreakBefore w:val="0"/>
        <w:numPr>
          <w:ilvl w:val="0"/>
          <w:numId w:val="0"/>
        </w:numPr>
        <w:shd w:val="clear"/>
        <w:kinsoku/>
        <w:wordWrap/>
        <w:overflowPunct/>
        <w:topLinePunct w:val="0"/>
        <w:autoSpaceDE/>
        <w:autoSpaceDN/>
        <w:bidi w:val="0"/>
        <w:adjustRightInd/>
        <w:snapToGrid/>
        <w:spacing w:line="550" w:lineRule="exact"/>
        <w:jc w:val="center"/>
        <w:textAlignment w:val="auto"/>
        <w:rPr>
          <w:rFonts w:hint="default"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绵阳富腾粮油有限公司招聘工作人员</w:t>
      </w:r>
      <w:r>
        <w:rPr>
          <w:rFonts w:hint="default" w:ascii="方正小标宋简体" w:hAnsi="方正小标宋简体" w:eastAsia="方正小标宋简体" w:cs="方正小标宋简体"/>
          <w:sz w:val="44"/>
          <w:szCs w:val="44"/>
          <w:lang w:val="en-US" w:eastAsia="zh-CN"/>
        </w:rPr>
        <w:t>需求表</w:t>
      </w:r>
    </w:p>
    <w:p w14:paraId="78809801">
      <w:pPr>
        <w:pStyle w:val="2"/>
        <w:numPr>
          <w:ilvl w:val="0"/>
          <w:numId w:val="0"/>
        </w:numPr>
        <w:jc w:val="center"/>
        <w:rPr>
          <w:rFonts w:hint="eastAsia" w:ascii="方正小标宋简体" w:hAnsi="方正小标宋简体" w:eastAsia="方正小标宋简体" w:cs="方正小标宋简体"/>
          <w:sz w:val="44"/>
          <w:szCs w:val="44"/>
          <w:lang w:val="en-US" w:eastAsia="zh-CN"/>
        </w:rPr>
      </w:pPr>
    </w:p>
    <w:tbl>
      <w:tblPr>
        <w:tblStyle w:val="3"/>
        <w:tblW w:w="4996"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73"/>
        <w:gridCol w:w="763"/>
        <w:gridCol w:w="885"/>
        <w:gridCol w:w="4625"/>
        <w:gridCol w:w="734"/>
        <w:gridCol w:w="1039"/>
        <w:gridCol w:w="2984"/>
        <w:gridCol w:w="1672"/>
      </w:tblGrid>
      <w:tr w14:paraId="25ED0F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2" w:hRule="atLeast"/>
        </w:trPr>
        <w:tc>
          <w:tcPr>
            <w:tcW w:w="14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B466C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rPr>
              <w:t>序号</w:t>
            </w:r>
          </w:p>
        </w:tc>
        <w:tc>
          <w:tcPr>
            <w:tcW w:w="29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41AA7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kern w:val="0"/>
                <w:sz w:val="20"/>
                <w:szCs w:val="20"/>
                <w:u w:val="none"/>
                <w:lang w:val="en-US" w:eastAsia="zh-CN"/>
              </w:rPr>
            </w:pPr>
            <w:r>
              <w:rPr>
                <w:rFonts w:hint="eastAsia" w:ascii="宋体" w:hAnsi="宋体" w:eastAsia="宋体" w:cs="宋体"/>
                <w:b/>
                <w:bCs/>
                <w:i w:val="0"/>
                <w:iCs w:val="0"/>
                <w:color w:val="000000"/>
                <w:kern w:val="0"/>
                <w:sz w:val="20"/>
                <w:szCs w:val="20"/>
                <w:u w:val="none"/>
                <w:lang w:val="en-US" w:eastAsia="zh-CN"/>
              </w:rPr>
              <w:t>隶属</w:t>
            </w:r>
          </w:p>
          <w:p w14:paraId="0EF3832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rPr>
              <w:t>部门</w:t>
            </w:r>
          </w:p>
        </w:tc>
        <w:tc>
          <w:tcPr>
            <w:tcW w:w="3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EFB9E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rPr>
              <w:t>岗位</w:t>
            </w:r>
          </w:p>
        </w:tc>
        <w:tc>
          <w:tcPr>
            <w:tcW w:w="176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F7B62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rPr>
              <w:t>岗位职责</w:t>
            </w:r>
          </w:p>
        </w:tc>
        <w:tc>
          <w:tcPr>
            <w:tcW w:w="2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B3FDB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rPr>
              <w:t>招聘人数</w:t>
            </w:r>
          </w:p>
        </w:tc>
        <w:tc>
          <w:tcPr>
            <w:tcW w:w="3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9166F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rPr>
              <w:t>专业</w:t>
            </w:r>
          </w:p>
        </w:tc>
        <w:tc>
          <w:tcPr>
            <w:tcW w:w="11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C0307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rPr>
              <w:t>其他条件</w:t>
            </w:r>
          </w:p>
        </w:tc>
        <w:tc>
          <w:tcPr>
            <w:tcW w:w="63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2856A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rPr>
              <w:t>备注</w:t>
            </w:r>
          </w:p>
        </w:tc>
      </w:tr>
      <w:tr w14:paraId="3B7773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63" w:hRule="atLeast"/>
        </w:trPr>
        <w:tc>
          <w:tcPr>
            <w:tcW w:w="142" w:type="pct"/>
            <w:tcBorders>
              <w:top w:val="single" w:color="000000" w:sz="4" w:space="0"/>
              <w:left w:val="single" w:color="000000" w:sz="4" w:space="0"/>
              <w:bottom w:val="single" w:color="auto" w:sz="4" w:space="0"/>
              <w:right w:val="single" w:color="000000" w:sz="4" w:space="0"/>
            </w:tcBorders>
            <w:shd w:val="clear" w:color="auto" w:fill="auto"/>
            <w:vAlign w:val="center"/>
          </w:tcPr>
          <w:p w14:paraId="14604217">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auto"/>
                <w:kern w:val="0"/>
                <w:sz w:val="18"/>
                <w:szCs w:val="18"/>
                <w:highlight w:val="none"/>
                <w:u w:val="none"/>
                <w:lang w:val="en-US" w:eastAsia="zh-CN"/>
              </w:rPr>
            </w:pPr>
            <w:r>
              <w:rPr>
                <w:rFonts w:hint="eastAsia" w:ascii="宋体" w:hAnsi="宋体" w:eastAsia="宋体" w:cs="宋体"/>
                <w:i w:val="0"/>
                <w:iCs w:val="0"/>
                <w:color w:val="auto"/>
                <w:kern w:val="0"/>
                <w:sz w:val="18"/>
                <w:szCs w:val="18"/>
                <w:highlight w:val="none"/>
                <w:u w:val="none"/>
                <w:lang w:val="en-US" w:eastAsia="zh-CN"/>
              </w:rPr>
              <w:t>1</w:t>
            </w:r>
          </w:p>
        </w:tc>
        <w:tc>
          <w:tcPr>
            <w:tcW w:w="291" w:type="pct"/>
            <w:tcBorders>
              <w:top w:val="single" w:color="000000" w:sz="4" w:space="0"/>
              <w:left w:val="single" w:color="000000" w:sz="4" w:space="0"/>
              <w:bottom w:val="single" w:color="auto" w:sz="4" w:space="0"/>
              <w:right w:val="single" w:color="000000" w:sz="4" w:space="0"/>
            </w:tcBorders>
            <w:shd w:val="clear" w:color="auto" w:fill="auto"/>
            <w:vAlign w:val="center"/>
          </w:tcPr>
          <w:p w14:paraId="320AA20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u w:val="none"/>
                <w:lang w:val="en-US" w:eastAsia="zh-CN" w:bidi="ar-SA"/>
              </w:rPr>
            </w:pPr>
            <w:r>
              <w:rPr>
                <w:rFonts w:hint="eastAsia" w:ascii="宋体" w:hAnsi="宋体" w:eastAsia="宋体" w:cs="宋体"/>
                <w:i w:val="0"/>
                <w:iCs w:val="0"/>
                <w:color w:val="auto"/>
                <w:sz w:val="18"/>
                <w:szCs w:val="18"/>
                <w:highlight w:val="none"/>
                <w:u w:val="none"/>
                <w:lang w:val="en-US" w:eastAsia="zh-CN"/>
              </w:rPr>
              <w:t>经营仓储生产部</w:t>
            </w:r>
          </w:p>
        </w:tc>
        <w:tc>
          <w:tcPr>
            <w:tcW w:w="33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75313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u w:val="none"/>
                <w:lang w:val="en-US" w:eastAsia="zh-CN" w:bidi="ar-SA"/>
              </w:rPr>
            </w:pPr>
            <w:r>
              <w:rPr>
                <w:rFonts w:hint="eastAsia" w:ascii="宋体" w:hAnsi="宋体" w:eastAsia="宋体" w:cs="宋体"/>
                <w:i w:val="0"/>
                <w:iCs w:val="0"/>
                <w:color w:val="auto"/>
                <w:sz w:val="18"/>
                <w:szCs w:val="18"/>
                <w:highlight w:val="none"/>
                <w:u w:val="none"/>
                <w:lang w:val="en-US" w:eastAsia="zh-CN"/>
              </w:rPr>
              <w:t>保管职员</w:t>
            </w:r>
          </w:p>
        </w:tc>
        <w:tc>
          <w:tcPr>
            <w:tcW w:w="1768" w:type="pct"/>
            <w:tcBorders>
              <w:top w:val="single" w:color="000000" w:sz="4" w:space="0"/>
              <w:left w:val="single" w:color="000000" w:sz="4" w:space="0"/>
              <w:bottom w:val="single" w:color="auto" w:sz="4" w:space="0"/>
              <w:right w:val="single" w:color="000000" w:sz="4" w:space="0"/>
            </w:tcBorders>
            <w:shd w:val="clear" w:color="auto" w:fill="auto"/>
            <w:vAlign w:val="center"/>
          </w:tcPr>
          <w:p w14:paraId="7C166813">
            <w:pPr>
              <w:keepNext w:val="0"/>
              <w:keepLines w:val="0"/>
              <w:widowControl/>
              <w:numPr>
                <w:ilvl w:val="0"/>
                <w:numId w:val="0"/>
              </w:numPr>
              <w:suppressLineNumbers w:val="0"/>
              <w:spacing w:before="0" w:beforeAutospacing="0" w:after="0" w:afterAutospacing="0"/>
              <w:ind w:right="0" w:rightChars="0"/>
              <w:jc w:val="left"/>
              <w:textAlignment w:val="center"/>
              <w:rPr>
                <w:rFonts w:hint="eastAsia" w:ascii="宋体" w:hAnsi="宋体" w:eastAsia="宋体" w:cs="宋体"/>
                <w:sz w:val="18"/>
                <w:szCs w:val="18"/>
              </w:rPr>
            </w:pPr>
            <w:r>
              <w:rPr>
                <w:rFonts w:hint="eastAsia" w:ascii="宋体" w:hAnsi="宋体" w:eastAsia="宋体" w:cs="宋体"/>
                <w:sz w:val="18"/>
                <w:szCs w:val="18"/>
                <w:lang w:val="en-US" w:eastAsia="zh-CN"/>
              </w:rPr>
              <w:t>1.</w:t>
            </w:r>
            <w:r>
              <w:rPr>
                <w:rFonts w:hint="eastAsia" w:ascii="宋体" w:hAnsi="宋体" w:eastAsia="宋体" w:cs="宋体"/>
                <w:sz w:val="18"/>
                <w:szCs w:val="18"/>
              </w:rPr>
              <w:t>严格遵守各项仓储管理制度和安全生产作业规程；</w:t>
            </w:r>
          </w:p>
          <w:p w14:paraId="27580242">
            <w:pPr>
              <w:keepNext w:val="0"/>
              <w:keepLines w:val="0"/>
              <w:widowControl/>
              <w:numPr>
                <w:ilvl w:val="0"/>
                <w:numId w:val="0"/>
              </w:numPr>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auto"/>
                <w:kern w:val="2"/>
                <w:sz w:val="18"/>
                <w:szCs w:val="18"/>
                <w:highlight w:val="none"/>
                <w:u w:val="none"/>
                <w:lang w:val="en-US" w:eastAsia="zh-CN" w:bidi="ar-SA"/>
              </w:rPr>
            </w:pPr>
            <w:r>
              <w:rPr>
                <w:rFonts w:hint="eastAsia" w:ascii="宋体" w:hAnsi="宋体" w:eastAsia="宋体" w:cs="宋体"/>
                <w:i w:val="0"/>
                <w:iCs w:val="0"/>
                <w:color w:val="auto"/>
                <w:kern w:val="2"/>
                <w:sz w:val="18"/>
                <w:szCs w:val="18"/>
                <w:lang w:val="en-US" w:eastAsia="zh-CN" w:bidi="ar-SA"/>
              </w:rPr>
              <w:t>2.</w:t>
            </w:r>
            <w:r>
              <w:rPr>
                <w:rFonts w:hint="eastAsia" w:ascii="宋体" w:hAnsi="宋体" w:eastAsia="宋体" w:cs="宋体"/>
                <w:sz w:val="18"/>
                <w:szCs w:val="18"/>
              </w:rPr>
              <w:t>坚持执行粮情检查制度，异常天气（风、雨、雪）随时检查粮情，发现异常情况及时采取措施并向上级报告；</w:t>
            </w:r>
          </w:p>
          <w:p w14:paraId="3A12DED9">
            <w:pPr>
              <w:keepNext w:val="0"/>
              <w:keepLines w:val="0"/>
              <w:widowControl/>
              <w:numPr>
                <w:ilvl w:val="0"/>
                <w:numId w:val="0"/>
              </w:numPr>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auto"/>
                <w:kern w:val="2"/>
                <w:sz w:val="18"/>
                <w:szCs w:val="18"/>
                <w:highlight w:val="none"/>
                <w:u w:val="none"/>
                <w:lang w:val="en-US" w:eastAsia="zh-CN" w:bidi="ar-SA"/>
              </w:rPr>
            </w:pPr>
            <w:r>
              <w:rPr>
                <w:rFonts w:hint="eastAsia" w:ascii="宋体" w:hAnsi="宋体" w:eastAsia="宋体" w:cs="宋体"/>
                <w:i w:val="0"/>
                <w:iCs w:val="0"/>
                <w:color w:val="auto"/>
                <w:kern w:val="2"/>
                <w:sz w:val="18"/>
                <w:szCs w:val="18"/>
                <w:lang w:val="en-US" w:eastAsia="zh-CN" w:bidi="ar-SA"/>
              </w:rPr>
              <w:t>3.</w:t>
            </w:r>
            <w:r>
              <w:rPr>
                <w:rFonts w:hint="eastAsia" w:ascii="宋体" w:hAnsi="宋体" w:eastAsia="宋体" w:cs="宋体"/>
                <w:sz w:val="18"/>
                <w:szCs w:val="18"/>
              </w:rPr>
              <w:t>建立健全分仓保管账；</w:t>
            </w:r>
          </w:p>
          <w:p w14:paraId="52809FA1">
            <w:pPr>
              <w:keepNext w:val="0"/>
              <w:keepLines w:val="0"/>
              <w:widowControl/>
              <w:numPr>
                <w:ilvl w:val="0"/>
                <w:numId w:val="0"/>
              </w:numPr>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auto"/>
                <w:kern w:val="2"/>
                <w:sz w:val="18"/>
                <w:szCs w:val="18"/>
                <w:highlight w:val="none"/>
                <w:u w:val="none"/>
                <w:lang w:val="en-US" w:eastAsia="zh-CN" w:bidi="ar-SA"/>
              </w:rPr>
            </w:pPr>
            <w:r>
              <w:rPr>
                <w:rFonts w:hint="eastAsia" w:ascii="宋体" w:hAnsi="宋体" w:eastAsia="宋体" w:cs="宋体"/>
                <w:i w:val="0"/>
                <w:iCs w:val="0"/>
                <w:color w:val="auto"/>
                <w:kern w:val="2"/>
                <w:sz w:val="18"/>
                <w:szCs w:val="18"/>
                <w:lang w:val="en-US" w:eastAsia="zh-CN" w:bidi="ar-SA"/>
              </w:rPr>
              <w:t>4.</w:t>
            </w:r>
            <w:r>
              <w:rPr>
                <w:rFonts w:hint="eastAsia" w:ascii="宋体" w:hAnsi="宋体" w:eastAsia="宋体" w:cs="宋体"/>
                <w:sz w:val="18"/>
                <w:szCs w:val="18"/>
              </w:rPr>
              <w:t>粮油入仓和出仓期间，每天登记进、出库数量，做到日清月结、账实相符、账账相符；</w:t>
            </w:r>
          </w:p>
          <w:p w14:paraId="3DA8160F">
            <w:pPr>
              <w:keepNext w:val="0"/>
              <w:keepLines w:val="0"/>
              <w:widowControl/>
              <w:numPr>
                <w:ilvl w:val="0"/>
                <w:numId w:val="0"/>
              </w:numPr>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auto"/>
                <w:kern w:val="2"/>
                <w:sz w:val="18"/>
                <w:szCs w:val="18"/>
                <w:highlight w:val="none"/>
                <w:u w:val="none"/>
                <w:lang w:val="en-US" w:eastAsia="zh-CN" w:bidi="ar-SA"/>
              </w:rPr>
            </w:pPr>
            <w:r>
              <w:rPr>
                <w:rFonts w:hint="eastAsia" w:ascii="宋体" w:hAnsi="宋体" w:eastAsia="宋体" w:cs="宋体"/>
                <w:i w:val="0"/>
                <w:iCs w:val="0"/>
                <w:color w:val="auto"/>
                <w:kern w:val="2"/>
                <w:sz w:val="18"/>
                <w:szCs w:val="18"/>
                <w:lang w:val="en-US" w:eastAsia="zh-CN" w:bidi="ar-SA"/>
              </w:rPr>
              <w:t>5.</w:t>
            </w:r>
            <w:r>
              <w:rPr>
                <w:rFonts w:hint="eastAsia" w:ascii="宋体" w:hAnsi="宋体" w:eastAsia="宋体" w:cs="宋体"/>
                <w:sz w:val="18"/>
                <w:szCs w:val="18"/>
              </w:rPr>
              <w:t>做好粮面平整、通风、压盖、密闭、排温、扦样、制冷、等保管技术等工作；</w:t>
            </w:r>
          </w:p>
          <w:p w14:paraId="033C07A4">
            <w:pPr>
              <w:keepNext w:val="0"/>
              <w:keepLines w:val="0"/>
              <w:widowControl/>
              <w:numPr>
                <w:ilvl w:val="0"/>
                <w:numId w:val="0"/>
              </w:numPr>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auto"/>
                <w:kern w:val="2"/>
                <w:sz w:val="18"/>
                <w:szCs w:val="18"/>
                <w:highlight w:val="none"/>
                <w:u w:val="none"/>
                <w:lang w:val="en-US" w:eastAsia="zh-CN" w:bidi="ar-SA"/>
              </w:rPr>
            </w:pPr>
            <w:r>
              <w:rPr>
                <w:rFonts w:hint="eastAsia" w:ascii="宋体" w:hAnsi="宋体" w:eastAsia="宋体" w:cs="宋体"/>
                <w:i w:val="0"/>
                <w:iCs w:val="0"/>
                <w:color w:val="auto"/>
                <w:kern w:val="2"/>
                <w:sz w:val="18"/>
                <w:szCs w:val="18"/>
                <w:lang w:val="en-US" w:eastAsia="zh-CN" w:bidi="ar-SA"/>
              </w:rPr>
              <w:t>6.</w:t>
            </w:r>
            <w:r>
              <w:rPr>
                <w:rFonts w:hint="eastAsia" w:ascii="宋体" w:hAnsi="宋体" w:eastAsia="宋体" w:cs="宋体"/>
                <w:sz w:val="18"/>
                <w:szCs w:val="18"/>
              </w:rPr>
              <w:t>规范填写“两簿”;负责按时完成领导交办的其他工作。</w:t>
            </w:r>
          </w:p>
        </w:tc>
        <w:tc>
          <w:tcPr>
            <w:tcW w:w="280" w:type="pct"/>
            <w:tcBorders>
              <w:top w:val="single" w:color="000000" w:sz="4" w:space="0"/>
              <w:left w:val="single" w:color="000000" w:sz="4" w:space="0"/>
              <w:bottom w:val="single" w:color="auto" w:sz="4" w:space="0"/>
              <w:right w:val="single" w:color="000000" w:sz="4" w:space="0"/>
            </w:tcBorders>
            <w:shd w:val="clear" w:color="auto" w:fill="auto"/>
            <w:vAlign w:val="center"/>
          </w:tcPr>
          <w:p w14:paraId="1CE558E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u w:val="none"/>
                <w:lang w:val="en-US" w:eastAsia="zh-CN" w:bidi="ar-SA"/>
              </w:rPr>
            </w:pPr>
            <w:r>
              <w:rPr>
                <w:rFonts w:hint="eastAsia" w:ascii="宋体" w:hAnsi="宋体" w:eastAsia="宋体" w:cs="宋体"/>
                <w:i w:val="0"/>
                <w:iCs w:val="0"/>
                <w:color w:val="auto"/>
                <w:kern w:val="2"/>
                <w:sz w:val="18"/>
                <w:szCs w:val="18"/>
                <w:highlight w:val="none"/>
                <w:u w:val="none"/>
                <w:lang w:val="en-US" w:eastAsia="zh-CN" w:bidi="ar-SA"/>
              </w:rPr>
              <w:t>1</w:t>
            </w:r>
          </w:p>
        </w:tc>
        <w:tc>
          <w:tcPr>
            <w:tcW w:w="397" w:type="pct"/>
            <w:tcBorders>
              <w:top w:val="single" w:color="000000" w:sz="4" w:space="0"/>
              <w:left w:val="single" w:color="000000" w:sz="4" w:space="0"/>
              <w:bottom w:val="single" w:color="auto" w:sz="4" w:space="0"/>
              <w:right w:val="single" w:color="000000" w:sz="4" w:space="0"/>
            </w:tcBorders>
            <w:shd w:val="clear" w:color="auto" w:fill="auto"/>
            <w:vAlign w:val="center"/>
          </w:tcPr>
          <w:p w14:paraId="3885824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auto"/>
                <w:kern w:val="2"/>
                <w:sz w:val="18"/>
                <w:szCs w:val="18"/>
                <w:highlight w:val="none"/>
                <w:u w:val="none"/>
                <w:lang w:val="en-US" w:eastAsia="zh-CN" w:bidi="ar-SA"/>
              </w:rPr>
            </w:pPr>
            <w:r>
              <w:rPr>
                <w:rFonts w:hint="eastAsia" w:ascii="宋体" w:hAnsi="宋体" w:eastAsia="宋体" w:cs="宋体"/>
                <w:i w:val="0"/>
                <w:iCs w:val="0"/>
                <w:color w:val="auto"/>
                <w:sz w:val="18"/>
                <w:szCs w:val="18"/>
                <w:highlight w:val="none"/>
                <w:u w:val="none"/>
                <w:lang w:val="en-US" w:eastAsia="zh-CN"/>
              </w:rPr>
              <w:t>不限</w:t>
            </w:r>
          </w:p>
        </w:tc>
        <w:tc>
          <w:tcPr>
            <w:tcW w:w="1141" w:type="pct"/>
            <w:tcBorders>
              <w:top w:val="single" w:color="000000" w:sz="4" w:space="0"/>
              <w:left w:val="single" w:color="000000" w:sz="4" w:space="0"/>
              <w:bottom w:val="single" w:color="auto" w:sz="4" w:space="0"/>
              <w:right w:val="single" w:color="000000" w:sz="4" w:space="0"/>
            </w:tcBorders>
            <w:shd w:val="clear" w:color="auto" w:fill="auto"/>
            <w:vAlign w:val="center"/>
          </w:tcPr>
          <w:p w14:paraId="0CB497F4">
            <w:pPr>
              <w:keepNext w:val="0"/>
              <w:keepLines w:val="0"/>
              <w:widowControl/>
              <w:numPr>
                <w:ilvl w:val="0"/>
                <w:numId w:val="0"/>
              </w:numPr>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auto"/>
                <w:sz w:val="18"/>
                <w:szCs w:val="18"/>
                <w:highlight w:val="none"/>
                <w:u w:val="none"/>
                <w:lang w:val="en-US" w:eastAsia="zh-CN"/>
              </w:rPr>
            </w:pPr>
            <w:r>
              <w:rPr>
                <w:rFonts w:hint="eastAsia" w:ascii="宋体" w:hAnsi="宋体" w:eastAsia="宋体" w:cs="宋体"/>
                <w:i w:val="0"/>
                <w:iCs w:val="0"/>
                <w:color w:val="auto"/>
                <w:kern w:val="2"/>
                <w:sz w:val="18"/>
                <w:szCs w:val="18"/>
                <w:lang w:val="en-US" w:eastAsia="zh-CN" w:bidi="ar-SA"/>
              </w:rPr>
              <w:t>1.</w:t>
            </w:r>
            <w:r>
              <w:rPr>
                <w:rFonts w:hint="eastAsia" w:ascii="宋体" w:hAnsi="宋体" w:eastAsia="宋体" w:cs="宋体"/>
                <w:i w:val="0"/>
                <w:iCs w:val="0"/>
                <w:color w:val="auto"/>
                <w:sz w:val="18"/>
                <w:szCs w:val="18"/>
                <w:highlight w:val="none"/>
                <w:u w:val="none"/>
                <w:lang w:val="en-US" w:eastAsia="zh-CN"/>
              </w:rPr>
              <w:t>全日制本科</w:t>
            </w:r>
            <w:r>
              <w:rPr>
                <w:rFonts w:hint="eastAsia" w:ascii="宋体" w:hAnsi="宋体" w:eastAsia="宋体" w:cs="宋体"/>
                <w:i w:val="0"/>
                <w:iCs w:val="0"/>
                <w:color w:val="auto"/>
                <w:sz w:val="18"/>
                <w:szCs w:val="18"/>
                <w:highlight w:val="none"/>
                <w:u w:val="none"/>
                <w:lang w:val="en-US" w:eastAsia="zh"/>
              </w:rPr>
              <w:t>及</w:t>
            </w:r>
            <w:r>
              <w:rPr>
                <w:rFonts w:hint="eastAsia" w:ascii="宋体" w:hAnsi="宋体" w:eastAsia="宋体" w:cs="宋体"/>
                <w:i w:val="0"/>
                <w:iCs w:val="0"/>
                <w:color w:val="auto"/>
                <w:sz w:val="18"/>
                <w:szCs w:val="18"/>
                <w:highlight w:val="none"/>
                <w:u w:val="none"/>
                <w:lang w:val="en-US" w:eastAsia="zh-CN"/>
              </w:rPr>
              <w:t>以上学历</w:t>
            </w:r>
            <w:r>
              <w:rPr>
                <w:rFonts w:hint="eastAsia" w:ascii="宋体" w:hAnsi="宋体" w:eastAsia="宋体" w:cs="宋体"/>
                <w:i w:val="0"/>
                <w:iCs w:val="0"/>
                <w:color w:val="auto"/>
                <w:sz w:val="18"/>
                <w:szCs w:val="18"/>
                <w:highlight w:val="none"/>
                <w:u w:val="none"/>
                <w:lang w:val="en-US" w:eastAsia="zh"/>
              </w:rPr>
              <w:t>，取得职业技能等级证书且技能等级为中级及以上的放宽至全日制大专学历</w:t>
            </w:r>
            <w:r>
              <w:rPr>
                <w:rFonts w:hint="eastAsia" w:ascii="宋体" w:hAnsi="宋体" w:eastAsia="宋体" w:cs="宋体"/>
                <w:i w:val="0"/>
                <w:iCs w:val="0"/>
                <w:color w:val="auto"/>
                <w:sz w:val="18"/>
                <w:szCs w:val="18"/>
                <w:highlight w:val="none"/>
                <w:u w:val="none"/>
                <w:lang w:val="en-US" w:eastAsia="zh-CN"/>
              </w:rPr>
              <w:t>；</w:t>
            </w:r>
          </w:p>
          <w:p w14:paraId="6F48D42A">
            <w:pPr>
              <w:keepNext w:val="0"/>
              <w:keepLines w:val="0"/>
              <w:widowControl/>
              <w:numPr>
                <w:ilvl w:val="0"/>
                <w:numId w:val="0"/>
              </w:numPr>
              <w:suppressLineNumbers w:val="0"/>
              <w:spacing w:before="0" w:beforeAutospacing="0" w:after="0" w:afterAutospacing="0"/>
              <w:ind w:left="0" w:leftChars="0" w:right="0" w:rightChars="0"/>
              <w:jc w:val="left"/>
              <w:textAlignment w:val="center"/>
              <w:rPr>
                <w:rFonts w:hint="eastAsia" w:ascii="宋体" w:hAnsi="宋体" w:eastAsia="宋体" w:cs="宋体"/>
                <w:i w:val="0"/>
                <w:iCs w:val="0"/>
                <w:color w:val="auto"/>
                <w:sz w:val="18"/>
                <w:szCs w:val="18"/>
                <w:highlight w:val="none"/>
                <w:u w:val="none"/>
                <w:lang w:val="en-US" w:eastAsia="zh-CN"/>
              </w:rPr>
            </w:pPr>
            <w:r>
              <w:rPr>
                <w:rFonts w:hint="eastAsia" w:ascii="宋体" w:hAnsi="宋体" w:eastAsia="宋体" w:cs="宋体"/>
                <w:i w:val="0"/>
                <w:iCs w:val="0"/>
                <w:color w:val="auto"/>
                <w:kern w:val="2"/>
                <w:sz w:val="18"/>
                <w:szCs w:val="18"/>
                <w:lang w:val="en-US" w:eastAsia="zh-CN" w:bidi="ar-SA"/>
              </w:rPr>
              <w:t>2.</w:t>
            </w:r>
            <w:r>
              <w:rPr>
                <w:rFonts w:hint="eastAsia" w:ascii="宋体" w:hAnsi="宋体" w:eastAsia="宋体" w:cs="宋体"/>
                <w:i w:val="0"/>
                <w:iCs w:val="0"/>
                <w:color w:val="auto"/>
                <w:sz w:val="18"/>
                <w:szCs w:val="18"/>
                <w:highlight w:val="none"/>
                <w:u w:val="none"/>
                <w:lang w:val="en-US" w:eastAsia="zh-CN"/>
              </w:rPr>
              <w:t>3</w:t>
            </w:r>
            <w:r>
              <w:rPr>
                <w:rFonts w:hint="eastAsia" w:ascii="宋体" w:hAnsi="宋体" w:eastAsia="宋体" w:cs="宋体"/>
                <w:i w:val="0"/>
                <w:iCs w:val="0"/>
                <w:color w:val="auto"/>
                <w:sz w:val="18"/>
                <w:szCs w:val="18"/>
                <w:highlight w:val="none"/>
                <w:u w:val="none"/>
                <w:lang w:val="en-US" w:eastAsia="zh"/>
              </w:rPr>
              <w:t>5周岁以下（19</w:t>
            </w:r>
            <w:r>
              <w:rPr>
                <w:rFonts w:hint="eastAsia" w:ascii="宋体" w:hAnsi="宋体" w:eastAsia="宋体" w:cs="宋体"/>
                <w:i w:val="0"/>
                <w:iCs w:val="0"/>
                <w:color w:val="auto"/>
                <w:sz w:val="18"/>
                <w:szCs w:val="18"/>
                <w:highlight w:val="none"/>
                <w:u w:val="none"/>
                <w:lang w:val="en-US" w:eastAsia="zh-CN"/>
              </w:rPr>
              <w:t>90</w:t>
            </w:r>
            <w:r>
              <w:rPr>
                <w:rFonts w:hint="eastAsia" w:ascii="宋体" w:hAnsi="宋体" w:eastAsia="宋体" w:cs="宋体"/>
                <w:i w:val="0"/>
                <w:iCs w:val="0"/>
                <w:color w:val="auto"/>
                <w:sz w:val="18"/>
                <w:szCs w:val="18"/>
                <w:highlight w:val="none"/>
                <w:u w:val="none"/>
                <w:lang w:val="en-US" w:eastAsia="zh"/>
              </w:rPr>
              <w:t>年</w:t>
            </w:r>
            <w:r>
              <w:rPr>
                <w:rFonts w:hint="eastAsia" w:ascii="宋体" w:hAnsi="宋体" w:eastAsia="宋体" w:cs="宋体"/>
                <w:i w:val="0"/>
                <w:iCs w:val="0"/>
                <w:color w:val="auto"/>
                <w:sz w:val="18"/>
                <w:szCs w:val="18"/>
                <w:highlight w:val="none"/>
                <w:u w:val="none"/>
                <w:lang w:val="en-US" w:eastAsia="zh-CN"/>
              </w:rPr>
              <w:t>2</w:t>
            </w:r>
            <w:r>
              <w:rPr>
                <w:rFonts w:hint="eastAsia" w:ascii="宋体" w:hAnsi="宋体" w:eastAsia="宋体" w:cs="宋体"/>
                <w:i w:val="0"/>
                <w:iCs w:val="0"/>
                <w:color w:val="auto"/>
                <w:sz w:val="18"/>
                <w:szCs w:val="18"/>
                <w:highlight w:val="none"/>
                <w:u w:val="none"/>
                <w:lang w:val="en-US" w:eastAsia="zh"/>
              </w:rPr>
              <w:t>月</w:t>
            </w:r>
            <w:r>
              <w:rPr>
                <w:rFonts w:hint="eastAsia" w:ascii="宋体" w:hAnsi="宋体" w:eastAsia="宋体" w:cs="宋体"/>
                <w:i w:val="0"/>
                <w:iCs w:val="0"/>
                <w:color w:val="auto"/>
                <w:sz w:val="18"/>
                <w:szCs w:val="18"/>
                <w:highlight w:val="none"/>
                <w:u w:val="none"/>
                <w:lang w:val="en-US" w:eastAsia="zh-CN"/>
              </w:rPr>
              <w:t>28</w:t>
            </w:r>
            <w:r>
              <w:rPr>
                <w:rFonts w:hint="eastAsia" w:ascii="宋体" w:hAnsi="宋体" w:eastAsia="宋体" w:cs="宋体"/>
                <w:i w:val="0"/>
                <w:iCs w:val="0"/>
                <w:color w:val="auto"/>
                <w:sz w:val="18"/>
                <w:szCs w:val="18"/>
                <w:highlight w:val="none"/>
                <w:u w:val="none"/>
                <w:lang w:val="en-US" w:eastAsia="zh"/>
              </w:rPr>
              <w:t>日后出生）</w:t>
            </w:r>
            <w:r>
              <w:rPr>
                <w:rFonts w:hint="eastAsia" w:ascii="宋体" w:hAnsi="宋体" w:eastAsia="宋体" w:cs="宋体"/>
                <w:i w:val="0"/>
                <w:iCs w:val="0"/>
                <w:color w:val="auto"/>
                <w:sz w:val="18"/>
                <w:szCs w:val="18"/>
                <w:highlight w:val="none"/>
                <w:u w:val="none"/>
                <w:lang w:val="en-US" w:eastAsia="zh-CN"/>
              </w:rPr>
              <w:t>；</w:t>
            </w:r>
          </w:p>
          <w:p w14:paraId="73CCD06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auto"/>
                <w:sz w:val="18"/>
                <w:szCs w:val="18"/>
                <w:highlight w:val="none"/>
                <w:u w:val="none"/>
                <w:lang w:val="en-US" w:eastAsia="zh-CN"/>
              </w:rPr>
            </w:pPr>
            <w:r>
              <w:rPr>
                <w:rFonts w:hint="eastAsia" w:ascii="宋体" w:hAnsi="宋体" w:eastAsia="宋体" w:cs="宋体"/>
                <w:i w:val="0"/>
                <w:iCs w:val="0"/>
                <w:color w:val="auto"/>
                <w:sz w:val="18"/>
                <w:szCs w:val="18"/>
                <w:highlight w:val="none"/>
                <w:u w:val="none"/>
                <w:lang w:val="en-US" w:eastAsia="zh-CN"/>
              </w:rPr>
              <w:t>3.积极主动、工作细致、严谨、条理性强，能够吃苦耐劳，具有服务意识、团队意识强；</w:t>
            </w:r>
          </w:p>
          <w:p w14:paraId="4CBD9272">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auto"/>
                <w:kern w:val="2"/>
                <w:sz w:val="18"/>
                <w:szCs w:val="18"/>
                <w:highlight w:val="none"/>
                <w:u w:val="none"/>
                <w:lang w:val="en-US" w:eastAsia="zh-CN" w:bidi="ar-SA"/>
              </w:rPr>
            </w:pPr>
            <w:r>
              <w:rPr>
                <w:rFonts w:hint="eastAsia" w:ascii="宋体" w:hAnsi="宋体" w:eastAsia="宋体" w:cs="宋体"/>
                <w:i w:val="0"/>
                <w:iCs w:val="0"/>
                <w:caps w:val="0"/>
                <w:color w:val="auto"/>
                <w:spacing w:val="0"/>
                <w:kern w:val="0"/>
                <w:sz w:val="18"/>
                <w:szCs w:val="18"/>
                <w:highlight w:val="none"/>
                <w:shd w:val="clear" w:fill="FFFFFF"/>
                <w:lang w:val="en-US" w:eastAsia="zh-CN" w:bidi="ar"/>
              </w:rPr>
              <w:t>4.适应弹性工作时间，能接受收购及出库期间早晚及周末加班（加班调休）</w:t>
            </w:r>
            <w:r>
              <w:rPr>
                <w:rFonts w:hint="eastAsia" w:ascii="宋体" w:hAnsi="宋体" w:eastAsia="宋体" w:cs="宋体"/>
                <w:i w:val="0"/>
                <w:iCs w:val="0"/>
                <w:caps w:val="0"/>
                <w:color w:val="auto"/>
                <w:spacing w:val="0"/>
                <w:kern w:val="0"/>
                <w:sz w:val="18"/>
                <w:szCs w:val="18"/>
                <w:highlight w:val="none"/>
                <w:shd w:val="clear" w:fill="FFFFFF"/>
                <w:lang w:val="en-US" w:eastAsia="zh" w:bidi="ar"/>
              </w:rPr>
              <w:t>；</w:t>
            </w:r>
          </w:p>
        </w:tc>
        <w:tc>
          <w:tcPr>
            <w:tcW w:w="639" w:type="pct"/>
            <w:tcBorders>
              <w:top w:val="single" w:color="000000" w:sz="4" w:space="0"/>
              <w:left w:val="single" w:color="000000" w:sz="4" w:space="0"/>
              <w:right w:val="single" w:color="000000" w:sz="4" w:space="0"/>
            </w:tcBorders>
            <w:shd w:val="clear" w:color="auto" w:fill="auto"/>
            <w:vAlign w:val="center"/>
          </w:tcPr>
          <w:p w14:paraId="07A2628B">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rPr>
                <w:rFonts w:hint="eastAsia" w:ascii="宋体" w:hAnsi="宋体" w:eastAsia="宋体" w:cs="宋体"/>
                <w:i w:val="0"/>
                <w:iCs w:val="0"/>
                <w:color w:val="auto"/>
                <w:sz w:val="18"/>
                <w:szCs w:val="18"/>
                <w:highlight w:val="none"/>
                <w:u w:val="none"/>
                <w:lang w:val="en-US" w:eastAsia="zh-CN"/>
              </w:rPr>
            </w:pPr>
            <w:r>
              <w:rPr>
                <w:rFonts w:hint="eastAsia" w:ascii="宋体" w:hAnsi="宋体" w:eastAsia="宋体" w:cs="宋体"/>
                <w:i w:val="0"/>
                <w:iCs w:val="0"/>
                <w:color w:val="auto"/>
                <w:sz w:val="18"/>
                <w:szCs w:val="18"/>
                <w:highlight w:val="none"/>
                <w:u w:val="none"/>
                <w:lang w:val="en-US" w:eastAsia="zh-CN"/>
              </w:rPr>
              <w:t>报考者</w:t>
            </w:r>
            <w:r>
              <w:rPr>
                <w:rFonts w:hint="eastAsia" w:ascii="宋体" w:hAnsi="宋体" w:eastAsia="宋体" w:cs="宋体"/>
                <w:i w:val="0"/>
                <w:iCs w:val="0"/>
                <w:color w:val="auto"/>
                <w:sz w:val="18"/>
                <w:szCs w:val="18"/>
                <w:highlight w:val="none"/>
                <w:u w:val="none"/>
              </w:rPr>
              <w:t>应当在面试资格审查截止前取得相应证书。未在规定时间内取得有关证书的，不予进入下一步考录环节或不予录用，责任由报考者本人自负。</w:t>
            </w:r>
          </w:p>
        </w:tc>
      </w:tr>
      <w:tr w14:paraId="306DD8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3" w:hRule="atLeast"/>
        </w:trPr>
        <w:tc>
          <w:tcPr>
            <w:tcW w:w="254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078D0CB">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kern w:val="2"/>
                <w:sz w:val="18"/>
                <w:szCs w:val="18"/>
                <w:highlight w:val="none"/>
                <w:u w:val="none"/>
                <w:lang w:val="en-US" w:eastAsia="zh-CN" w:bidi="ar-SA"/>
              </w:rPr>
              <w:t>合计人数</w:t>
            </w:r>
          </w:p>
        </w:tc>
        <w:tc>
          <w:tcPr>
            <w:tcW w:w="280" w:type="pct"/>
            <w:tcBorders>
              <w:top w:val="single" w:color="auto" w:sz="4" w:space="0"/>
              <w:left w:val="single" w:color="000000" w:sz="4" w:space="0"/>
              <w:bottom w:val="single" w:color="000000" w:sz="4" w:space="0"/>
              <w:right w:val="single" w:color="000000" w:sz="4" w:space="0"/>
            </w:tcBorders>
            <w:shd w:val="clear" w:color="auto" w:fill="auto"/>
            <w:vAlign w:val="center"/>
          </w:tcPr>
          <w:p w14:paraId="6D9D6D37">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kern w:val="2"/>
                <w:sz w:val="18"/>
                <w:szCs w:val="18"/>
                <w:highlight w:val="none"/>
                <w:u w:val="none"/>
                <w:lang w:val="en-US" w:eastAsia="zh-CN" w:bidi="ar-SA"/>
              </w:rPr>
              <w:t>1</w:t>
            </w:r>
          </w:p>
        </w:tc>
        <w:tc>
          <w:tcPr>
            <w:tcW w:w="2177"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2ED1C0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kern w:val="2"/>
                <w:sz w:val="18"/>
                <w:szCs w:val="18"/>
                <w:highlight w:val="none"/>
                <w:u w:val="none"/>
                <w:lang w:val="en-US" w:eastAsia="zh-CN" w:bidi="ar-SA"/>
              </w:rPr>
              <w:t>/</w:t>
            </w:r>
          </w:p>
        </w:tc>
      </w:tr>
    </w:tbl>
    <w:p w14:paraId="3E3121C2">
      <w:bookmarkStart w:id="0" w:name="_GoBack"/>
      <w:bookmarkEnd w:id="0"/>
    </w:p>
    <w:sectPr>
      <w:pgSz w:w="16838" w:h="11906" w:orient="landscape"/>
      <w:pgMar w:top="1587" w:right="2098" w:bottom="1474" w:left="187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733618"/>
    <w:multiLevelType w:val="multilevel"/>
    <w:tmpl w:val="3D733618"/>
    <w:lvl w:ilvl="0" w:tentative="0">
      <w:start w:val="1"/>
      <w:numFmt w:val="decimal"/>
      <w:pStyle w:val="2"/>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7F014C"/>
    <w:rsid w:val="127F014C"/>
    <w:rsid w:val="36115472"/>
    <w:rsid w:val="6FF963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note text"/>
    <w:basedOn w:val="1"/>
    <w:qFormat/>
    <w:uiPriority w:val="0"/>
    <w:pPr>
      <w:numPr>
        <w:ilvl w:val="0"/>
        <w:numId w:val="1"/>
      </w:numPr>
      <w:snapToGrid w:val="0"/>
      <w:jc w:val="left"/>
    </w:pPr>
    <w:rPr>
      <w:rFonts w:ascii="宋体" w:eastAsia="宋体"/>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2025-02-28T02:46:00Z</dcterms:created>
  <dc:creator>哟哟</dc:creator>
  <cp:lastModifiedBy>哟哟</cp:lastModifiedBy>
  <dcterms:modified xsi:type="dcterms:W3CDTF">2025-02-28T02:47:06Z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4F918FAB945A42309C0B2C4FF8BAE884_11</vt:lpwstr>
  </property>
  <property fmtid="{D5CDD505-2E9C-101B-9397-08002B2CF9AE}" pid="4" name="KSOTemplateDocerSaveRecord">
    <vt:lpwstr>eyJoZGlkIjoiZjY0ZDBmMWJlZWFkNzc3ZTM5M2QwNWY5ZDkyMTg1ODIiLCJ1c2VySWQiOiI2Mjc5NjI4MjIifQ==</vt:lpwstr>
  </property>
</Properties>
</file>